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4F506" w14:textId="081AE42B" w:rsidR="003B3669" w:rsidRPr="003B3669" w:rsidRDefault="003B3669" w:rsidP="003B3669">
      <w:pPr>
        <w:spacing w:line="360" w:lineRule="auto"/>
        <w:jc w:val="center"/>
        <w:rPr>
          <w:rFonts w:ascii="Times New Roman" w:hAnsi="Times New Roman" w:cs="Times New Roman"/>
          <w:b/>
          <w:bCs/>
          <w:sz w:val="40"/>
          <w:szCs w:val="40"/>
        </w:rPr>
      </w:pPr>
      <w:r w:rsidRPr="003B3669">
        <w:rPr>
          <w:rFonts w:ascii="Times New Roman" w:hAnsi="Times New Roman" w:cs="Times New Roman"/>
          <w:b/>
          <w:bCs/>
          <w:sz w:val="40"/>
          <w:szCs w:val="40"/>
        </w:rPr>
        <w:t>PVKN Govt. College(A), Chittoor</w:t>
      </w:r>
    </w:p>
    <w:p w14:paraId="09E287CF" w14:textId="34B12068" w:rsidR="003B3669" w:rsidRPr="003B3669" w:rsidRDefault="003B3669" w:rsidP="003B3669">
      <w:pPr>
        <w:spacing w:line="360" w:lineRule="auto"/>
        <w:jc w:val="center"/>
        <w:rPr>
          <w:rFonts w:ascii="Times New Roman" w:hAnsi="Times New Roman" w:cs="Times New Roman"/>
          <w:b/>
          <w:bCs/>
          <w:sz w:val="32"/>
          <w:szCs w:val="32"/>
        </w:rPr>
      </w:pPr>
      <w:r w:rsidRPr="003B3669">
        <w:rPr>
          <w:rFonts w:ascii="Times New Roman" w:hAnsi="Times New Roman" w:cs="Times New Roman"/>
          <w:b/>
          <w:bCs/>
          <w:sz w:val="32"/>
          <w:szCs w:val="32"/>
        </w:rPr>
        <w:t>Policy Document: Financial Support for Teachers’ Participation in Professional Development</w:t>
      </w:r>
    </w:p>
    <w:p w14:paraId="5280B789"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1. Purpose</w:t>
      </w:r>
    </w:p>
    <w:p w14:paraId="2F0DEA79" w14:textId="77777777" w:rsidR="003B3669" w:rsidRPr="003B3669" w:rsidRDefault="003B3669" w:rsidP="003B3669">
      <w:pPr>
        <w:spacing w:line="360" w:lineRule="auto"/>
        <w:rPr>
          <w:rFonts w:ascii="Times New Roman" w:hAnsi="Times New Roman" w:cs="Times New Roman"/>
          <w:sz w:val="24"/>
          <w:szCs w:val="24"/>
        </w:rPr>
      </w:pPr>
      <w:r w:rsidRPr="003B3669">
        <w:rPr>
          <w:rFonts w:ascii="Times New Roman" w:hAnsi="Times New Roman" w:cs="Times New Roman"/>
          <w:sz w:val="24"/>
          <w:szCs w:val="24"/>
        </w:rPr>
        <w:t>The purpose of this policy is to provide clear guidelines and procedures for offering financial support to teachers at PVKN Government College (A) for participating in various professional development activities. This includes Training of Trainers (</w:t>
      </w:r>
      <w:proofErr w:type="spellStart"/>
      <w:r w:rsidRPr="003B3669">
        <w:rPr>
          <w:rFonts w:ascii="Times New Roman" w:hAnsi="Times New Roman" w:cs="Times New Roman"/>
          <w:sz w:val="24"/>
          <w:szCs w:val="24"/>
        </w:rPr>
        <w:t>ToT</w:t>
      </w:r>
      <w:proofErr w:type="spellEnd"/>
      <w:r w:rsidRPr="003B3669">
        <w:rPr>
          <w:rFonts w:ascii="Times New Roman" w:hAnsi="Times New Roman" w:cs="Times New Roman"/>
          <w:sz w:val="24"/>
          <w:szCs w:val="24"/>
        </w:rPr>
        <w:t>) sessions, seminars, webinars, workshops, NEP seminars, environmental awareness seminars, and other relevant online seminars.</w:t>
      </w:r>
    </w:p>
    <w:p w14:paraId="43E8E66B"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2. Scope</w:t>
      </w:r>
    </w:p>
    <w:p w14:paraId="58DC7521" w14:textId="77777777" w:rsidR="003B3669" w:rsidRPr="003B3669" w:rsidRDefault="003B3669" w:rsidP="003B3669">
      <w:pPr>
        <w:spacing w:line="360" w:lineRule="auto"/>
        <w:rPr>
          <w:rFonts w:ascii="Times New Roman" w:hAnsi="Times New Roman" w:cs="Times New Roman"/>
          <w:sz w:val="24"/>
          <w:szCs w:val="24"/>
        </w:rPr>
      </w:pPr>
      <w:r w:rsidRPr="003B3669">
        <w:rPr>
          <w:rFonts w:ascii="Times New Roman" w:hAnsi="Times New Roman" w:cs="Times New Roman"/>
          <w:sz w:val="24"/>
          <w:szCs w:val="24"/>
        </w:rPr>
        <w:t>This policy applies to all full-time teaching faculty members at PVKN Government College (A) who wish to participate in professional development activities relevant to their academic and professional growth.</w:t>
      </w:r>
    </w:p>
    <w:p w14:paraId="1C866029"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3. Types of Activities Covered</w:t>
      </w:r>
    </w:p>
    <w:p w14:paraId="6A23D152" w14:textId="77777777" w:rsidR="003B3669" w:rsidRPr="003B3669" w:rsidRDefault="003B3669" w:rsidP="003B3669">
      <w:pPr>
        <w:numPr>
          <w:ilvl w:val="0"/>
          <w:numId w:val="1"/>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Training of Trainers (</w:t>
      </w:r>
      <w:proofErr w:type="spellStart"/>
      <w:r w:rsidRPr="003B3669">
        <w:rPr>
          <w:rFonts w:ascii="Times New Roman" w:hAnsi="Times New Roman" w:cs="Times New Roman"/>
          <w:b/>
          <w:bCs/>
          <w:sz w:val="24"/>
          <w:szCs w:val="24"/>
        </w:rPr>
        <w:t>ToT</w:t>
      </w:r>
      <w:proofErr w:type="spellEnd"/>
      <w:r w:rsidRPr="003B3669">
        <w:rPr>
          <w:rFonts w:ascii="Times New Roman" w:hAnsi="Times New Roman" w:cs="Times New Roman"/>
          <w:b/>
          <w:bCs/>
          <w:sz w:val="24"/>
          <w:szCs w:val="24"/>
        </w:rPr>
        <w:t>) Sessions</w:t>
      </w:r>
    </w:p>
    <w:p w14:paraId="7B221B1D" w14:textId="77777777" w:rsidR="003B3669" w:rsidRPr="003B3669" w:rsidRDefault="003B3669" w:rsidP="003B3669">
      <w:pPr>
        <w:numPr>
          <w:ilvl w:val="0"/>
          <w:numId w:val="1"/>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Seminars, Workshops, and Webinars</w:t>
      </w:r>
      <w:r w:rsidRPr="003B3669">
        <w:rPr>
          <w:rFonts w:ascii="Times New Roman" w:hAnsi="Times New Roman" w:cs="Times New Roman"/>
          <w:sz w:val="24"/>
          <w:szCs w:val="24"/>
        </w:rPr>
        <w:t xml:space="preserve"> (including NEP and environmental awareness seminars)</w:t>
      </w:r>
    </w:p>
    <w:p w14:paraId="6677300D" w14:textId="77777777" w:rsidR="003B3669" w:rsidRPr="003B3669" w:rsidRDefault="003B3669" w:rsidP="003B3669">
      <w:pPr>
        <w:numPr>
          <w:ilvl w:val="0"/>
          <w:numId w:val="1"/>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Online Seminars</w:t>
      </w:r>
      <w:r w:rsidRPr="003B3669">
        <w:rPr>
          <w:rFonts w:ascii="Times New Roman" w:hAnsi="Times New Roman" w:cs="Times New Roman"/>
          <w:sz w:val="24"/>
          <w:szCs w:val="24"/>
        </w:rPr>
        <w:t xml:space="preserve"> and virtual conferences</w:t>
      </w:r>
    </w:p>
    <w:p w14:paraId="057B6121" w14:textId="77777777" w:rsidR="003B3669" w:rsidRPr="003B3669" w:rsidRDefault="003B3669" w:rsidP="003B3669">
      <w:pPr>
        <w:numPr>
          <w:ilvl w:val="0"/>
          <w:numId w:val="1"/>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Other Professional Development Activities</w:t>
      </w:r>
      <w:r w:rsidRPr="003B3669">
        <w:rPr>
          <w:rFonts w:ascii="Times New Roman" w:hAnsi="Times New Roman" w:cs="Times New Roman"/>
          <w:sz w:val="24"/>
          <w:szCs w:val="24"/>
        </w:rPr>
        <w:t xml:space="preserve"> as deemed necessary</w:t>
      </w:r>
    </w:p>
    <w:p w14:paraId="6949F2DF"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4. Eligibility Criteria</w:t>
      </w:r>
    </w:p>
    <w:p w14:paraId="54F74494" w14:textId="77777777" w:rsidR="003B3669" w:rsidRPr="003B3669" w:rsidRDefault="003B3669" w:rsidP="003B3669">
      <w:pPr>
        <w:spacing w:line="360" w:lineRule="auto"/>
        <w:rPr>
          <w:rFonts w:ascii="Times New Roman" w:hAnsi="Times New Roman" w:cs="Times New Roman"/>
          <w:sz w:val="24"/>
          <w:szCs w:val="24"/>
        </w:rPr>
      </w:pPr>
      <w:r w:rsidRPr="003B3669">
        <w:rPr>
          <w:rFonts w:ascii="Times New Roman" w:hAnsi="Times New Roman" w:cs="Times New Roman"/>
          <w:sz w:val="24"/>
          <w:szCs w:val="24"/>
        </w:rPr>
        <w:t>To qualify for financial support, faculty members must meet the following criteria:</w:t>
      </w:r>
    </w:p>
    <w:p w14:paraId="2D0ECD5D" w14:textId="77777777" w:rsidR="003B3669" w:rsidRPr="003B3669" w:rsidRDefault="003B3669" w:rsidP="003B3669">
      <w:pPr>
        <w:numPr>
          <w:ilvl w:val="0"/>
          <w:numId w:val="2"/>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Current Employment</w:t>
      </w:r>
      <w:r w:rsidRPr="003B3669">
        <w:rPr>
          <w:rFonts w:ascii="Times New Roman" w:hAnsi="Times New Roman" w:cs="Times New Roman"/>
          <w:sz w:val="24"/>
          <w:szCs w:val="24"/>
        </w:rPr>
        <w:t>: Must be a full-time teacher at PVKN Government College (A).</w:t>
      </w:r>
    </w:p>
    <w:p w14:paraId="2BE93C55" w14:textId="77777777" w:rsidR="003B3669" w:rsidRPr="003B3669" w:rsidRDefault="003B3669" w:rsidP="003B3669">
      <w:pPr>
        <w:numPr>
          <w:ilvl w:val="0"/>
          <w:numId w:val="2"/>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Relevance</w:t>
      </w:r>
      <w:r w:rsidRPr="003B3669">
        <w:rPr>
          <w:rFonts w:ascii="Times New Roman" w:hAnsi="Times New Roman" w:cs="Times New Roman"/>
          <w:sz w:val="24"/>
          <w:szCs w:val="24"/>
        </w:rPr>
        <w:t>: The activity must be directly related to the faculty member’s field of expertise or professional development.</w:t>
      </w:r>
    </w:p>
    <w:p w14:paraId="2DBC50A9" w14:textId="77777777" w:rsidR="003B3669" w:rsidRPr="003B3669" w:rsidRDefault="003B3669" w:rsidP="003B3669">
      <w:pPr>
        <w:numPr>
          <w:ilvl w:val="0"/>
          <w:numId w:val="2"/>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lastRenderedPageBreak/>
        <w:t>Prior Approval</w:t>
      </w:r>
      <w:r w:rsidRPr="003B3669">
        <w:rPr>
          <w:rFonts w:ascii="Times New Roman" w:hAnsi="Times New Roman" w:cs="Times New Roman"/>
          <w:sz w:val="24"/>
          <w:szCs w:val="24"/>
        </w:rPr>
        <w:t xml:space="preserve">: The faculty member must obtain prior approval from the Head of the Department (HOD) and the </w:t>
      </w:r>
      <w:proofErr w:type="gramStart"/>
      <w:r w:rsidRPr="003B3669">
        <w:rPr>
          <w:rFonts w:ascii="Times New Roman" w:hAnsi="Times New Roman" w:cs="Times New Roman"/>
          <w:sz w:val="24"/>
          <w:szCs w:val="24"/>
        </w:rPr>
        <w:t>Principal</w:t>
      </w:r>
      <w:proofErr w:type="gramEnd"/>
      <w:r w:rsidRPr="003B3669">
        <w:rPr>
          <w:rFonts w:ascii="Times New Roman" w:hAnsi="Times New Roman" w:cs="Times New Roman"/>
          <w:sz w:val="24"/>
          <w:szCs w:val="24"/>
        </w:rPr>
        <w:t xml:space="preserve"> before registering for the event.</w:t>
      </w:r>
    </w:p>
    <w:p w14:paraId="2C6F3DAF"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5. Types of Financial Support</w:t>
      </w:r>
    </w:p>
    <w:p w14:paraId="429E37B1" w14:textId="77777777" w:rsidR="003B3669" w:rsidRPr="003B3669" w:rsidRDefault="003B3669" w:rsidP="003B3669">
      <w:pPr>
        <w:spacing w:line="360" w:lineRule="auto"/>
        <w:rPr>
          <w:rFonts w:ascii="Times New Roman" w:hAnsi="Times New Roman" w:cs="Times New Roman"/>
          <w:sz w:val="24"/>
          <w:szCs w:val="24"/>
        </w:rPr>
      </w:pPr>
      <w:r w:rsidRPr="003B3669">
        <w:rPr>
          <w:rFonts w:ascii="Times New Roman" w:hAnsi="Times New Roman" w:cs="Times New Roman"/>
          <w:sz w:val="24"/>
          <w:szCs w:val="24"/>
        </w:rPr>
        <w:t>Financial support may include the following:</w:t>
      </w:r>
    </w:p>
    <w:p w14:paraId="4ACB6854" w14:textId="77777777" w:rsidR="003B3669" w:rsidRPr="003B3669" w:rsidRDefault="003B3669" w:rsidP="003B3669">
      <w:pPr>
        <w:numPr>
          <w:ilvl w:val="0"/>
          <w:numId w:val="3"/>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Registration Fees</w:t>
      </w:r>
      <w:r w:rsidRPr="003B3669">
        <w:rPr>
          <w:rFonts w:ascii="Times New Roman" w:hAnsi="Times New Roman" w:cs="Times New Roman"/>
          <w:sz w:val="24"/>
          <w:szCs w:val="24"/>
        </w:rPr>
        <w:t>: Full or partial reimbursement for registration fees, as applicable.</w:t>
      </w:r>
    </w:p>
    <w:p w14:paraId="786E2EFC" w14:textId="77777777" w:rsidR="003B3669" w:rsidRPr="003B3669" w:rsidRDefault="003B3669" w:rsidP="003B3669">
      <w:pPr>
        <w:numPr>
          <w:ilvl w:val="0"/>
          <w:numId w:val="3"/>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Travel Expenses</w:t>
      </w:r>
      <w:r w:rsidRPr="003B3669">
        <w:rPr>
          <w:rFonts w:ascii="Times New Roman" w:hAnsi="Times New Roman" w:cs="Times New Roman"/>
          <w:sz w:val="24"/>
          <w:szCs w:val="24"/>
        </w:rPr>
        <w:t>: Coverage of travel expenses, including transportation and accommodation, if the event is held outside Chittoor.</w:t>
      </w:r>
    </w:p>
    <w:p w14:paraId="360D7CE6" w14:textId="77777777" w:rsidR="003B3669" w:rsidRPr="003B3669" w:rsidRDefault="003B3669" w:rsidP="003B3669">
      <w:pPr>
        <w:numPr>
          <w:ilvl w:val="0"/>
          <w:numId w:val="3"/>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Material Costs</w:t>
      </w:r>
      <w:r w:rsidRPr="003B3669">
        <w:rPr>
          <w:rFonts w:ascii="Times New Roman" w:hAnsi="Times New Roman" w:cs="Times New Roman"/>
          <w:sz w:val="24"/>
          <w:szCs w:val="24"/>
        </w:rPr>
        <w:t>: Reimbursement for materials related to the event, such as books, software, or other resources.</w:t>
      </w:r>
    </w:p>
    <w:p w14:paraId="3E7D4711" w14:textId="77777777" w:rsidR="003B3669" w:rsidRPr="003B3669" w:rsidRDefault="003B3669" w:rsidP="003B3669">
      <w:pPr>
        <w:numPr>
          <w:ilvl w:val="0"/>
          <w:numId w:val="3"/>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Other Relevant Costs</w:t>
      </w:r>
      <w:r w:rsidRPr="003B3669">
        <w:rPr>
          <w:rFonts w:ascii="Times New Roman" w:hAnsi="Times New Roman" w:cs="Times New Roman"/>
          <w:sz w:val="24"/>
          <w:szCs w:val="24"/>
        </w:rPr>
        <w:t>: Any additional costs directly associated with the professional development activity.</w:t>
      </w:r>
    </w:p>
    <w:p w14:paraId="671C23E6"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6. Application Process</w:t>
      </w:r>
    </w:p>
    <w:p w14:paraId="3D9A2EC2" w14:textId="77777777" w:rsidR="003B3669" w:rsidRPr="003B3669" w:rsidRDefault="003B3669" w:rsidP="003B3669">
      <w:pPr>
        <w:numPr>
          <w:ilvl w:val="0"/>
          <w:numId w:val="4"/>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Pre-Approval Request</w:t>
      </w:r>
      <w:r w:rsidRPr="003B3669">
        <w:rPr>
          <w:rFonts w:ascii="Times New Roman" w:hAnsi="Times New Roman" w:cs="Times New Roman"/>
          <w:sz w:val="24"/>
          <w:szCs w:val="24"/>
        </w:rPr>
        <w:t>: Faculty members must submit a formal request for financial support to the HOD, detailing the event, its relevance, and estimated costs. This request should be submitted at least four weeks prior to the event.</w:t>
      </w:r>
    </w:p>
    <w:p w14:paraId="5F009A26" w14:textId="77777777" w:rsidR="003B3669" w:rsidRPr="003B3669" w:rsidRDefault="003B3669" w:rsidP="003B3669">
      <w:pPr>
        <w:numPr>
          <w:ilvl w:val="0"/>
          <w:numId w:val="4"/>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Review and Approval</w:t>
      </w:r>
      <w:r w:rsidRPr="003B3669">
        <w:rPr>
          <w:rFonts w:ascii="Times New Roman" w:hAnsi="Times New Roman" w:cs="Times New Roman"/>
          <w:sz w:val="24"/>
          <w:szCs w:val="24"/>
        </w:rPr>
        <w:t xml:space="preserve">: The HOD will review the request and forward it to the </w:t>
      </w:r>
      <w:proofErr w:type="gramStart"/>
      <w:r w:rsidRPr="003B3669">
        <w:rPr>
          <w:rFonts w:ascii="Times New Roman" w:hAnsi="Times New Roman" w:cs="Times New Roman"/>
          <w:sz w:val="24"/>
          <w:szCs w:val="24"/>
        </w:rPr>
        <w:t>Principal</w:t>
      </w:r>
      <w:proofErr w:type="gramEnd"/>
      <w:r w:rsidRPr="003B3669">
        <w:rPr>
          <w:rFonts w:ascii="Times New Roman" w:hAnsi="Times New Roman" w:cs="Times New Roman"/>
          <w:sz w:val="24"/>
          <w:szCs w:val="24"/>
        </w:rPr>
        <w:t xml:space="preserve"> for final approval. The </w:t>
      </w:r>
      <w:proofErr w:type="gramStart"/>
      <w:r w:rsidRPr="003B3669">
        <w:rPr>
          <w:rFonts w:ascii="Times New Roman" w:hAnsi="Times New Roman" w:cs="Times New Roman"/>
          <w:sz w:val="24"/>
          <w:szCs w:val="24"/>
        </w:rPr>
        <w:t>Principal’s</w:t>
      </w:r>
      <w:proofErr w:type="gramEnd"/>
      <w:r w:rsidRPr="003B3669">
        <w:rPr>
          <w:rFonts w:ascii="Times New Roman" w:hAnsi="Times New Roman" w:cs="Times New Roman"/>
          <w:sz w:val="24"/>
          <w:szCs w:val="24"/>
        </w:rPr>
        <w:t xml:space="preserve"> decision will be communicated to the faculty member within one week.</w:t>
      </w:r>
    </w:p>
    <w:p w14:paraId="35267D32" w14:textId="77777777" w:rsidR="003B3669" w:rsidRPr="003B3669" w:rsidRDefault="003B3669" w:rsidP="003B3669">
      <w:pPr>
        <w:numPr>
          <w:ilvl w:val="0"/>
          <w:numId w:val="4"/>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Expense Reporting</w:t>
      </w:r>
      <w:r w:rsidRPr="003B3669">
        <w:rPr>
          <w:rFonts w:ascii="Times New Roman" w:hAnsi="Times New Roman" w:cs="Times New Roman"/>
          <w:sz w:val="24"/>
          <w:szCs w:val="24"/>
        </w:rPr>
        <w:t>: After the event, the faculty member must submit a detailed report of expenses, along with original receipts, to the Finance Office for reimbursement. The report should include a summary of the event, key takeaways, and how the knowledge gained will be applied in their role.</w:t>
      </w:r>
    </w:p>
    <w:p w14:paraId="209DB564"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7. Financial Support Limits</w:t>
      </w:r>
    </w:p>
    <w:p w14:paraId="5D448914" w14:textId="31AF5D91" w:rsidR="003B3669" w:rsidRPr="003B3669" w:rsidRDefault="003B3669" w:rsidP="003B3669">
      <w:pPr>
        <w:numPr>
          <w:ilvl w:val="0"/>
          <w:numId w:val="5"/>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Registration Fees</w:t>
      </w:r>
      <w:r w:rsidRPr="003B3669">
        <w:rPr>
          <w:rFonts w:ascii="Times New Roman" w:hAnsi="Times New Roman" w:cs="Times New Roman"/>
          <w:sz w:val="24"/>
          <w:szCs w:val="24"/>
        </w:rPr>
        <w:t xml:space="preserve">: Full reimbursement for events held at the college or virtually; up to </w:t>
      </w:r>
      <w:r w:rsidR="0071345C">
        <w:rPr>
          <w:rFonts w:ascii="Times New Roman" w:hAnsi="Times New Roman" w:cs="Times New Roman"/>
          <w:sz w:val="24"/>
          <w:szCs w:val="24"/>
        </w:rPr>
        <w:t>Rs.</w:t>
      </w:r>
      <w:r w:rsidR="005E47BB">
        <w:rPr>
          <w:rFonts w:ascii="Times New Roman" w:hAnsi="Times New Roman" w:cs="Times New Roman"/>
          <w:sz w:val="24"/>
          <w:szCs w:val="24"/>
        </w:rPr>
        <w:t>1</w:t>
      </w:r>
      <w:r w:rsidRPr="003B3669">
        <w:rPr>
          <w:rFonts w:ascii="Times New Roman" w:hAnsi="Times New Roman" w:cs="Times New Roman"/>
          <w:sz w:val="24"/>
          <w:szCs w:val="24"/>
        </w:rPr>
        <w:t>,000 for external events.</w:t>
      </w:r>
    </w:p>
    <w:p w14:paraId="294BB69C" w14:textId="72248F1C" w:rsidR="003B3669" w:rsidRPr="003B3669" w:rsidRDefault="003B3669" w:rsidP="003B3669">
      <w:pPr>
        <w:numPr>
          <w:ilvl w:val="0"/>
          <w:numId w:val="5"/>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Travel Expenses</w:t>
      </w:r>
      <w:r w:rsidRPr="003B3669">
        <w:rPr>
          <w:rFonts w:ascii="Times New Roman" w:hAnsi="Times New Roman" w:cs="Times New Roman"/>
          <w:sz w:val="24"/>
          <w:szCs w:val="24"/>
        </w:rPr>
        <w:t xml:space="preserve">: Up to </w:t>
      </w:r>
      <w:r w:rsidR="0071345C">
        <w:rPr>
          <w:rFonts w:ascii="Times New Roman" w:hAnsi="Times New Roman" w:cs="Times New Roman"/>
          <w:sz w:val="24"/>
          <w:szCs w:val="24"/>
        </w:rPr>
        <w:t>Rs.</w:t>
      </w:r>
      <w:r w:rsidRPr="003B3669">
        <w:rPr>
          <w:rFonts w:ascii="Times New Roman" w:hAnsi="Times New Roman" w:cs="Times New Roman"/>
          <w:sz w:val="24"/>
          <w:szCs w:val="24"/>
        </w:rPr>
        <w:t>10,000 for national travel; actual costs for accommodation will be reimbursed as per the college’s travel policy.</w:t>
      </w:r>
    </w:p>
    <w:p w14:paraId="58A93931" w14:textId="6A4A5F5E" w:rsidR="003B3669" w:rsidRPr="003B3669" w:rsidRDefault="003B3669" w:rsidP="003B3669">
      <w:pPr>
        <w:numPr>
          <w:ilvl w:val="0"/>
          <w:numId w:val="5"/>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Material Costs</w:t>
      </w:r>
      <w:r w:rsidRPr="003B3669">
        <w:rPr>
          <w:rFonts w:ascii="Times New Roman" w:hAnsi="Times New Roman" w:cs="Times New Roman"/>
          <w:sz w:val="24"/>
          <w:szCs w:val="24"/>
        </w:rPr>
        <w:t xml:space="preserve">: Up to </w:t>
      </w:r>
      <w:r w:rsidR="0071345C">
        <w:rPr>
          <w:rFonts w:ascii="Times New Roman" w:hAnsi="Times New Roman" w:cs="Times New Roman"/>
          <w:sz w:val="24"/>
          <w:szCs w:val="24"/>
        </w:rPr>
        <w:t>Rs.</w:t>
      </w:r>
      <w:r w:rsidRPr="003B3669">
        <w:rPr>
          <w:rFonts w:ascii="Times New Roman" w:hAnsi="Times New Roman" w:cs="Times New Roman"/>
          <w:sz w:val="24"/>
          <w:szCs w:val="24"/>
        </w:rPr>
        <w:t>2,000 per event.</w:t>
      </w:r>
    </w:p>
    <w:p w14:paraId="6F03E151" w14:textId="77777777" w:rsidR="003B3669" w:rsidRPr="003B3669" w:rsidRDefault="003B3669" w:rsidP="003B3669">
      <w:pPr>
        <w:numPr>
          <w:ilvl w:val="0"/>
          <w:numId w:val="5"/>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lastRenderedPageBreak/>
        <w:t>Other Relevant Costs</w:t>
      </w:r>
      <w:r w:rsidRPr="003B3669">
        <w:rPr>
          <w:rFonts w:ascii="Times New Roman" w:hAnsi="Times New Roman" w:cs="Times New Roman"/>
          <w:sz w:val="24"/>
          <w:szCs w:val="24"/>
        </w:rPr>
        <w:t>: Subject to prior approval and documentation.</w:t>
      </w:r>
    </w:p>
    <w:p w14:paraId="02E7DC70"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8. Conditions</w:t>
      </w:r>
    </w:p>
    <w:p w14:paraId="1400597B" w14:textId="77777777" w:rsidR="003B3669" w:rsidRPr="003B3669" w:rsidRDefault="003B3669" w:rsidP="003B3669">
      <w:pPr>
        <w:numPr>
          <w:ilvl w:val="0"/>
          <w:numId w:val="6"/>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Maximum Number of Events</w:t>
      </w:r>
      <w:r w:rsidRPr="003B3669">
        <w:rPr>
          <w:rFonts w:ascii="Times New Roman" w:hAnsi="Times New Roman" w:cs="Times New Roman"/>
          <w:sz w:val="24"/>
          <w:szCs w:val="24"/>
        </w:rPr>
        <w:t>: Each faculty member is eligible for financial support for up to three events per academic year.</w:t>
      </w:r>
    </w:p>
    <w:p w14:paraId="6C757E47" w14:textId="77777777" w:rsidR="003B3669" w:rsidRPr="003B3669" w:rsidRDefault="003B3669" w:rsidP="003B3669">
      <w:pPr>
        <w:numPr>
          <w:ilvl w:val="0"/>
          <w:numId w:val="6"/>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Reporting</w:t>
      </w:r>
      <w:r w:rsidRPr="003B3669">
        <w:rPr>
          <w:rFonts w:ascii="Times New Roman" w:hAnsi="Times New Roman" w:cs="Times New Roman"/>
          <w:sz w:val="24"/>
          <w:szCs w:val="24"/>
        </w:rPr>
        <w:t>: Faculty members must provide a report on the event within two weeks of participation, highlighting the benefits and application of the training.</w:t>
      </w:r>
    </w:p>
    <w:p w14:paraId="727A5C48" w14:textId="77777777" w:rsidR="003B3669" w:rsidRPr="003B3669" w:rsidRDefault="003B3669" w:rsidP="003B3669">
      <w:pPr>
        <w:numPr>
          <w:ilvl w:val="0"/>
          <w:numId w:val="6"/>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Unused Funds</w:t>
      </w:r>
      <w:r w:rsidRPr="003B3669">
        <w:rPr>
          <w:rFonts w:ascii="Times New Roman" w:hAnsi="Times New Roman" w:cs="Times New Roman"/>
          <w:sz w:val="24"/>
          <w:szCs w:val="24"/>
        </w:rPr>
        <w:t>: If the actual costs are less than the approved amount, only the actual costs will be reimbursed.</w:t>
      </w:r>
    </w:p>
    <w:p w14:paraId="5B3324F9"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9. Monitoring and Evaluation</w:t>
      </w:r>
    </w:p>
    <w:p w14:paraId="541E572C" w14:textId="77777777" w:rsidR="003B3669" w:rsidRPr="003B3669" w:rsidRDefault="003B3669" w:rsidP="003B3669">
      <w:pPr>
        <w:numPr>
          <w:ilvl w:val="0"/>
          <w:numId w:val="7"/>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Regular Review</w:t>
      </w:r>
      <w:r w:rsidRPr="003B3669">
        <w:rPr>
          <w:rFonts w:ascii="Times New Roman" w:hAnsi="Times New Roman" w:cs="Times New Roman"/>
          <w:sz w:val="24"/>
          <w:szCs w:val="24"/>
        </w:rPr>
        <w:t>: The implementation of this policy will be reviewed annually to assess its effectiveness and make necessary adjustments.</w:t>
      </w:r>
    </w:p>
    <w:p w14:paraId="2B031059" w14:textId="77777777" w:rsidR="003B3669" w:rsidRPr="003B3669" w:rsidRDefault="003B3669" w:rsidP="003B3669">
      <w:pPr>
        <w:numPr>
          <w:ilvl w:val="0"/>
          <w:numId w:val="7"/>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Feedback</w:t>
      </w:r>
      <w:r w:rsidRPr="003B3669">
        <w:rPr>
          <w:rFonts w:ascii="Times New Roman" w:hAnsi="Times New Roman" w:cs="Times New Roman"/>
          <w:sz w:val="24"/>
          <w:szCs w:val="24"/>
        </w:rPr>
        <w:t>: Faculty members are encouraged to provide feedback on the financial support process and its impact on their professional development.</w:t>
      </w:r>
    </w:p>
    <w:p w14:paraId="2F96E63F"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10. Policy Amendments</w:t>
      </w:r>
    </w:p>
    <w:p w14:paraId="4B0BD667" w14:textId="77777777" w:rsidR="003B3669" w:rsidRPr="003B3669" w:rsidRDefault="003B3669" w:rsidP="003B3669">
      <w:pPr>
        <w:spacing w:line="360" w:lineRule="auto"/>
        <w:rPr>
          <w:rFonts w:ascii="Times New Roman" w:hAnsi="Times New Roman" w:cs="Times New Roman"/>
          <w:sz w:val="24"/>
          <w:szCs w:val="24"/>
        </w:rPr>
      </w:pPr>
      <w:r w:rsidRPr="003B3669">
        <w:rPr>
          <w:rFonts w:ascii="Times New Roman" w:hAnsi="Times New Roman" w:cs="Times New Roman"/>
          <w:sz w:val="24"/>
          <w:szCs w:val="24"/>
        </w:rPr>
        <w:t>Any amendments to this policy will be made based on feedback and the evolving needs of the faculty and institution. Updates will be communicated to all staff in a timely manner.</w:t>
      </w:r>
    </w:p>
    <w:p w14:paraId="202D0D41" w14:textId="77777777" w:rsidR="003B3669" w:rsidRPr="003B3669" w:rsidRDefault="003B3669" w:rsidP="003B3669">
      <w:pPr>
        <w:spacing w:line="360" w:lineRule="auto"/>
        <w:rPr>
          <w:rFonts w:ascii="Times New Roman" w:hAnsi="Times New Roman" w:cs="Times New Roman"/>
          <w:b/>
          <w:bCs/>
          <w:sz w:val="24"/>
          <w:szCs w:val="24"/>
        </w:rPr>
      </w:pPr>
      <w:r w:rsidRPr="003B3669">
        <w:rPr>
          <w:rFonts w:ascii="Times New Roman" w:hAnsi="Times New Roman" w:cs="Times New Roman"/>
          <w:b/>
          <w:bCs/>
          <w:sz w:val="24"/>
          <w:szCs w:val="24"/>
        </w:rPr>
        <w:t>11. Contact Information</w:t>
      </w:r>
    </w:p>
    <w:p w14:paraId="7B62364D" w14:textId="0F89715A" w:rsidR="003B3669" w:rsidRPr="003B3669" w:rsidRDefault="003B3669" w:rsidP="003B3669">
      <w:pPr>
        <w:spacing w:line="360" w:lineRule="auto"/>
        <w:rPr>
          <w:rFonts w:ascii="Times New Roman" w:hAnsi="Times New Roman" w:cs="Times New Roman"/>
          <w:sz w:val="24"/>
          <w:szCs w:val="24"/>
        </w:rPr>
      </w:pPr>
      <w:r w:rsidRPr="003B3669">
        <w:rPr>
          <w:rFonts w:ascii="Times New Roman" w:hAnsi="Times New Roman" w:cs="Times New Roman"/>
          <w:sz w:val="24"/>
          <w:szCs w:val="24"/>
        </w:rPr>
        <w:t>For queries related to this policy or the application process, faculty members should contact:</w:t>
      </w:r>
    </w:p>
    <w:p w14:paraId="01CA10F4" w14:textId="3AAB538F" w:rsidR="003B3669" w:rsidRPr="0017673B" w:rsidRDefault="0017673B" w:rsidP="0017673B">
      <w:pPr>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In charges of </w:t>
      </w:r>
      <w:r w:rsidR="003B3669" w:rsidRPr="0017673B">
        <w:rPr>
          <w:rFonts w:ascii="Times New Roman" w:hAnsi="Times New Roman" w:cs="Times New Roman"/>
          <w:b/>
          <w:bCs/>
          <w:sz w:val="24"/>
          <w:szCs w:val="24"/>
        </w:rPr>
        <w:t xml:space="preserve">Head </w:t>
      </w:r>
      <w:r w:rsidR="0071345C" w:rsidRPr="0017673B">
        <w:rPr>
          <w:rFonts w:ascii="Times New Roman" w:hAnsi="Times New Roman" w:cs="Times New Roman"/>
          <w:sz w:val="24"/>
          <w:szCs w:val="24"/>
        </w:rPr>
        <w:t xml:space="preserve"> </w:t>
      </w:r>
    </w:p>
    <w:p w14:paraId="3FF90030" w14:textId="5E7E259D" w:rsidR="003B3669" w:rsidRPr="003B3669" w:rsidRDefault="003B3669" w:rsidP="003B3669">
      <w:pPr>
        <w:numPr>
          <w:ilvl w:val="0"/>
          <w:numId w:val="8"/>
        </w:numPr>
        <w:spacing w:line="360" w:lineRule="auto"/>
        <w:rPr>
          <w:rFonts w:ascii="Times New Roman" w:hAnsi="Times New Roman" w:cs="Times New Roman"/>
          <w:sz w:val="24"/>
          <w:szCs w:val="24"/>
        </w:rPr>
      </w:pPr>
      <w:r w:rsidRPr="003B3669">
        <w:rPr>
          <w:rFonts w:ascii="Times New Roman" w:hAnsi="Times New Roman" w:cs="Times New Roman"/>
          <w:b/>
          <w:bCs/>
          <w:sz w:val="24"/>
          <w:szCs w:val="24"/>
        </w:rPr>
        <w:t>Principal’s Office</w:t>
      </w:r>
    </w:p>
    <w:p w14:paraId="4E88F6F9" w14:textId="1B29092D" w:rsidR="003B3669" w:rsidRPr="003B3669" w:rsidRDefault="005B600A" w:rsidP="0071345C">
      <w:pPr>
        <w:spacing w:line="360" w:lineRule="auto"/>
        <w:ind w:left="360"/>
        <w:rPr>
          <w:rFonts w:ascii="Times New Roman" w:hAnsi="Times New Roman" w:cs="Times New Roman"/>
          <w:sz w:val="24"/>
          <w:szCs w:val="24"/>
        </w:rPr>
      </w:pPr>
      <w:r w:rsidRPr="005B600A">
        <w:rPr>
          <w:rFonts w:ascii="Times New Roman" w:hAnsi="Times New Roman" w:cs="Times New Roman"/>
          <w:sz w:val="24"/>
          <w:szCs w:val="24"/>
        </w:rPr>
        <w:drawing>
          <wp:anchor distT="0" distB="0" distL="114300" distR="114300" simplePos="0" relativeHeight="251659264" behindDoc="0" locked="0" layoutInCell="1" allowOverlap="1" wp14:anchorId="4A83770F" wp14:editId="671B8D76">
            <wp:simplePos x="0" y="0"/>
            <wp:positionH relativeFrom="margin">
              <wp:posOffset>3267075</wp:posOffset>
            </wp:positionH>
            <wp:positionV relativeFrom="paragraph">
              <wp:posOffset>3810</wp:posOffset>
            </wp:positionV>
            <wp:extent cx="2276475" cy="957580"/>
            <wp:effectExtent l="0" t="0" r="9525" b="0"/>
            <wp:wrapSquare wrapText="bothSides"/>
            <wp:docPr id="167803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647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81794" w14:textId="6C697E41" w:rsidR="005B600A" w:rsidRPr="005B600A" w:rsidRDefault="005B600A" w:rsidP="005B600A">
      <w:pPr>
        <w:spacing w:line="360" w:lineRule="auto"/>
        <w:rPr>
          <w:rFonts w:ascii="Times New Roman" w:hAnsi="Times New Roman" w:cs="Times New Roman"/>
          <w:sz w:val="24"/>
          <w:szCs w:val="24"/>
        </w:rPr>
      </w:pPr>
    </w:p>
    <w:p w14:paraId="51720279" w14:textId="5601B928" w:rsidR="00630D37" w:rsidRPr="003B3669" w:rsidRDefault="00630D37" w:rsidP="003B3669">
      <w:pPr>
        <w:spacing w:line="360" w:lineRule="auto"/>
        <w:rPr>
          <w:rFonts w:ascii="Times New Roman" w:hAnsi="Times New Roman" w:cs="Times New Roman"/>
          <w:sz w:val="24"/>
          <w:szCs w:val="24"/>
        </w:rPr>
      </w:pPr>
    </w:p>
    <w:sectPr w:rsidR="00630D37" w:rsidRPr="003B3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654A9"/>
    <w:multiLevelType w:val="multilevel"/>
    <w:tmpl w:val="3122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63E37"/>
    <w:multiLevelType w:val="multilevel"/>
    <w:tmpl w:val="002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D5C05"/>
    <w:multiLevelType w:val="multilevel"/>
    <w:tmpl w:val="04C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74C2A"/>
    <w:multiLevelType w:val="multilevel"/>
    <w:tmpl w:val="6A40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72906"/>
    <w:multiLevelType w:val="multilevel"/>
    <w:tmpl w:val="EEE0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63287"/>
    <w:multiLevelType w:val="multilevel"/>
    <w:tmpl w:val="60DC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F5020C"/>
    <w:multiLevelType w:val="multilevel"/>
    <w:tmpl w:val="59B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7E2722"/>
    <w:multiLevelType w:val="multilevel"/>
    <w:tmpl w:val="ECB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664280">
    <w:abstractNumId w:val="3"/>
  </w:num>
  <w:num w:numId="2" w16cid:durableId="398789696">
    <w:abstractNumId w:val="6"/>
  </w:num>
  <w:num w:numId="3" w16cid:durableId="38478488">
    <w:abstractNumId w:val="0"/>
  </w:num>
  <w:num w:numId="4" w16cid:durableId="214775861">
    <w:abstractNumId w:val="4"/>
  </w:num>
  <w:num w:numId="5" w16cid:durableId="1041127569">
    <w:abstractNumId w:val="7"/>
  </w:num>
  <w:num w:numId="6" w16cid:durableId="533157284">
    <w:abstractNumId w:val="5"/>
  </w:num>
  <w:num w:numId="7" w16cid:durableId="710231639">
    <w:abstractNumId w:val="2"/>
  </w:num>
  <w:num w:numId="8" w16cid:durableId="23902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69"/>
    <w:rsid w:val="0017673B"/>
    <w:rsid w:val="003B3669"/>
    <w:rsid w:val="00490D93"/>
    <w:rsid w:val="005B600A"/>
    <w:rsid w:val="005E47BB"/>
    <w:rsid w:val="00630D37"/>
    <w:rsid w:val="0071345C"/>
    <w:rsid w:val="00A3245D"/>
    <w:rsid w:val="00AE0C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A98B"/>
  <w15:chartTrackingRefBased/>
  <w15:docId w15:val="{FF756D8B-D327-4981-B04F-8237AA95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9921">
      <w:bodyDiv w:val="1"/>
      <w:marLeft w:val="0"/>
      <w:marRight w:val="0"/>
      <w:marTop w:val="0"/>
      <w:marBottom w:val="0"/>
      <w:divBdr>
        <w:top w:val="none" w:sz="0" w:space="0" w:color="auto"/>
        <w:left w:val="none" w:sz="0" w:space="0" w:color="auto"/>
        <w:bottom w:val="none" w:sz="0" w:space="0" w:color="auto"/>
        <w:right w:val="none" w:sz="0" w:space="0" w:color="auto"/>
      </w:divBdr>
    </w:div>
    <w:div w:id="977494468">
      <w:bodyDiv w:val="1"/>
      <w:marLeft w:val="0"/>
      <w:marRight w:val="0"/>
      <w:marTop w:val="0"/>
      <w:marBottom w:val="0"/>
      <w:divBdr>
        <w:top w:val="none" w:sz="0" w:space="0" w:color="auto"/>
        <w:left w:val="none" w:sz="0" w:space="0" w:color="auto"/>
        <w:bottom w:val="none" w:sz="0" w:space="0" w:color="auto"/>
        <w:right w:val="none" w:sz="0" w:space="0" w:color="auto"/>
      </w:divBdr>
    </w:div>
    <w:div w:id="1103650931">
      <w:bodyDiv w:val="1"/>
      <w:marLeft w:val="0"/>
      <w:marRight w:val="0"/>
      <w:marTop w:val="0"/>
      <w:marBottom w:val="0"/>
      <w:divBdr>
        <w:top w:val="none" w:sz="0" w:space="0" w:color="auto"/>
        <w:left w:val="none" w:sz="0" w:space="0" w:color="auto"/>
        <w:bottom w:val="none" w:sz="0" w:space="0" w:color="auto"/>
        <w:right w:val="none" w:sz="0" w:space="0" w:color="auto"/>
      </w:divBdr>
    </w:div>
    <w:div w:id="14943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F913-7EDA-45FA-983E-92FF1612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Sreekaram</dc:creator>
  <cp:keywords/>
  <dc:description/>
  <cp:lastModifiedBy>PVKN PRINCIPAL</cp:lastModifiedBy>
  <cp:revision>5</cp:revision>
  <dcterms:created xsi:type="dcterms:W3CDTF">2024-08-24T02:07:00Z</dcterms:created>
  <dcterms:modified xsi:type="dcterms:W3CDTF">2024-08-24T06:22:00Z</dcterms:modified>
</cp:coreProperties>
</file>